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FC987" w14:textId="5FF0CFC2" w:rsidR="00F12E78" w:rsidRPr="00EF40F2" w:rsidRDefault="00EF40F2" w:rsidP="00F12E78">
      <w:pPr>
        <w:jc w:val="center"/>
        <w:rPr>
          <w:rFonts w:ascii="Arial" w:eastAsia="Calibri" w:hAnsi="Arial" w:cs="Arial"/>
          <w:b/>
          <w:bCs/>
          <w:sz w:val="24"/>
          <w:szCs w:val="24"/>
        </w:rPr>
      </w:pPr>
      <w:r>
        <w:rPr>
          <w:rFonts w:ascii="Arial" w:eastAsia="Calibri" w:hAnsi="Arial" w:cs="Arial"/>
          <w:b/>
          <w:bCs/>
          <w:sz w:val="24"/>
          <w:szCs w:val="24"/>
        </w:rPr>
        <w:t xml:space="preserve">REQUEST FOR EXPRESSION OF INTEREST: </w:t>
      </w:r>
      <w:r w:rsidR="001341B4">
        <w:rPr>
          <w:rFonts w:ascii="Arial" w:eastAsia="Calibri" w:hAnsi="Arial" w:cs="Arial"/>
          <w:b/>
          <w:bCs/>
          <w:sz w:val="24"/>
          <w:szCs w:val="24"/>
        </w:rPr>
        <w:t xml:space="preserve"> </w:t>
      </w:r>
      <w:r w:rsidRPr="00EF40F2">
        <w:rPr>
          <w:rFonts w:ascii="Arial" w:eastAsia="Calibri" w:hAnsi="Arial" w:cs="Arial"/>
          <w:b/>
          <w:bCs/>
          <w:sz w:val="24"/>
          <w:szCs w:val="24"/>
        </w:rPr>
        <w:t>FOLLOW UP ON CORRUPTION RISK ASSESSMENTS</w:t>
      </w:r>
    </w:p>
    <w:p w14:paraId="66C307E6" w14:textId="77777777" w:rsidR="00F12E78" w:rsidRPr="00EF40F2" w:rsidRDefault="00F12E78" w:rsidP="00F12E78">
      <w:pPr>
        <w:jc w:val="both"/>
        <w:rPr>
          <w:rFonts w:ascii="Arial" w:eastAsia="Calibri" w:hAnsi="Arial" w:cs="Arial"/>
          <w:b/>
          <w:bCs/>
          <w:sz w:val="24"/>
          <w:szCs w:val="24"/>
        </w:rPr>
      </w:pPr>
      <w:r w:rsidRPr="00EF40F2">
        <w:rPr>
          <w:rFonts w:ascii="Arial" w:eastAsia="Calibri" w:hAnsi="Arial" w:cs="Arial"/>
          <w:b/>
          <w:bCs/>
          <w:sz w:val="24"/>
          <w:szCs w:val="24"/>
        </w:rPr>
        <w:t>1. Introduction</w:t>
      </w:r>
    </w:p>
    <w:p w14:paraId="2B9508AD" w14:textId="77777777" w:rsidR="00EF40F2" w:rsidRPr="00EF40F2" w:rsidRDefault="00EF40F2" w:rsidP="00EF40F2">
      <w:pPr>
        <w:spacing w:line="276" w:lineRule="auto"/>
        <w:jc w:val="both"/>
        <w:rPr>
          <w:rFonts w:ascii="Arial" w:hAnsi="Arial" w:cs="Arial"/>
          <w:sz w:val="24"/>
          <w:szCs w:val="24"/>
        </w:rPr>
      </w:pPr>
      <w:r w:rsidRPr="00EF40F2">
        <w:rPr>
          <w:rFonts w:ascii="Arial" w:hAnsi="Arial" w:cs="Arial"/>
          <w:sz w:val="24"/>
          <w:szCs w:val="24"/>
        </w:rPr>
        <w:t>Centre for Social Justice (CSJ) with the support of the European Union Rule of Law and Anti-Corruption Project RoLAC 2 is implementing a program on “Improving the Effectiveness of Anti-Corruption Processes and Reforms in Nigeria”. The goal of the project is to contribute to increased effectiveness of anti-corruption laws, policies, interventions and strategies for the entrenchment of reforms at national and subnational levels. This would lead to increased compliance with anti-corruption laws. Anti-corruption laws and policies are not an end in themselves but they are expected to lead to systemic change, enhanced compliance and behavioural change in society, making it possible for increased prevention of corruption, corrective action in individual cases, detection and prosecution of offenders and to make more difficult, future breaches of the law.</w:t>
      </w:r>
    </w:p>
    <w:p w14:paraId="70BD4568" w14:textId="7C97F3D4" w:rsidR="00EF40F2" w:rsidRPr="00EF40F2" w:rsidRDefault="00EF40F2" w:rsidP="00EF40F2">
      <w:pPr>
        <w:spacing w:line="276" w:lineRule="auto"/>
        <w:jc w:val="both"/>
        <w:rPr>
          <w:rFonts w:ascii="Arial" w:hAnsi="Arial" w:cs="Arial"/>
          <w:b/>
          <w:bCs/>
          <w:sz w:val="24"/>
          <w:szCs w:val="24"/>
        </w:rPr>
      </w:pPr>
      <w:r w:rsidRPr="00EF40F2">
        <w:rPr>
          <w:rFonts w:ascii="Arial" w:hAnsi="Arial" w:cs="Arial"/>
          <w:b/>
          <w:bCs/>
          <w:sz w:val="24"/>
          <w:szCs w:val="24"/>
        </w:rPr>
        <w:t>2</w:t>
      </w:r>
      <w:r w:rsidRPr="00EF40F2">
        <w:rPr>
          <w:rFonts w:ascii="Arial" w:hAnsi="Arial" w:cs="Arial"/>
          <w:b/>
          <w:bCs/>
          <w:sz w:val="24"/>
          <w:szCs w:val="24"/>
        </w:rPr>
        <w:t xml:space="preserve">. </w:t>
      </w:r>
      <w:r w:rsidRPr="00EF40F2">
        <w:rPr>
          <w:rFonts w:ascii="Arial" w:hAnsi="Arial" w:cs="Arial"/>
          <w:b/>
          <w:bCs/>
          <w:sz w:val="24"/>
          <w:szCs w:val="24"/>
        </w:rPr>
        <w:t>The Assignment</w:t>
      </w:r>
    </w:p>
    <w:p w14:paraId="6312E3CF" w14:textId="1AA51984" w:rsidR="00F12E78" w:rsidRPr="00EF40F2" w:rsidRDefault="00F12E78" w:rsidP="00F12E78">
      <w:pPr>
        <w:jc w:val="both"/>
        <w:rPr>
          <w:rFonts w:ascii="Arial" w:hAnsi="Arial" w:cs="Arial"/>
          <w:color w:val="000000"/>
          <w:sz w:val="24"/>
          <w:szCs w:val="24"/>
          <w:lang w:val="en-GB"/>
        </w:rPr>
      </w:pPr>
      <w:r w:rsidRPr="00EF40F2">
        <w:rPr>
          <w:rFonts w:ascii="Arial" w:hAnsi="Arial" w:cs="Arial"/>
          <w:color w:val="000000"/>
          <w:sz w:val="24"/>
          <w:szCs w:val="24"/>
          <w:lang w:val="en-GB"/>
        </w:rPr>
        <w:t>The Independent Corrupt Practices and other Related Offences Commission (ICPC) preventive framework, comprising Corruption Risk Assessment, Systems Study and Review and the annual Ethics and Integrity Score Card stands out as a transformative initiative to fortify integrity, transparency and compliance within Ministries, Department and Agencies (MDAs).</w:t>
      </w:r>
    </w:p>
    <w:p w14:paraId="66BA738F" w14:textId="23AE14CA" w:rsidR="00F12E78" w:rsidRPr="00EF40F2" w:rsidRDefault="00F12E78" w:rsidP="00F12E78">
      <w:pPr>
        <w:jc w:val="both"/>
        <w:rPr>
          <w:rFonts w:ascii="Arial" w:hAnsi="Arial" w:cs="Arial"/>
          <w:color w:val="000000"/>
          <w:sz w:val="24"/>
          <w:szCs w:val="24"/>
          <w:lang w:val="en-GB"/>
        </w:rPr>
      </w:pPr>
      <w:r w:rsidRPr="00EF40F2">
        <w:rPr>
          <w:rFonts w:ascii="Arial" w:hAnsi="Arial" w:cs="Arial"/>
          <w:color w:val="000000"/>
          <w:sz w:val="24"/>
          <w:szCs w:val="24"/>
          <w:lang w:val="en-GB"/>
        </w:rPr>
        <w:t>The CRA serves as a diagnostics tool to identify institutional vulnerabilities, map high-risk processes and recommend safety measure</w:t>
      </w:r>
      <w:r w:rsidR="00EF40F2" w:rsidRPr="00EF40F2">
        <w:rPr>
          <w:rFonts w:ascii="Arial" w:hAnsi="Arial" w:cs="Arial"/>
          <w:color w:val="000000"/>
          <w:sz w:val="24"/>
          <w:szCs w:val="24"/>
          <w:lang w:val="en-GB"/>
        </w:rPr>
        <w:t>s</w:t>
      </w:r>
      <w:r w:rsidRPr="00EF40F2">
        <w:rPr>
          <w:rFonts w:ascii="Arial" w:hAnsi="Arial" w:cs="Arial"/>
          <w:color w:val="000000"/>
          <w:sz w:val="24"/>
          <w:szCs w:val="24"/>
          <w:lang w:val="en-GB"/>
        </w:rPr>
        <w:t xml:space="preserve"> against corrupt practices. The CRA was carried out by the ICPC, and staff of the Economic and Financial Crimes Commission (EFCC), Bureau of Public Procurement (BPP) was also part of the assessment with the support of Technical Unit on Governance and Anti-Corruption Reforms (TUGAR), United Nations Office on Drugs and Crime (UNODC), in selected Ministries, Departments and Agencies (MDAs). </w:t>
      </w:r>
    </w:p>
    <w:p w14:paraId="19F01C5A" w14:textId="77777777" w:rsidR="00F12E78" w:rsidRPr="00EF40F2" w:rsidRDefault="00F12E78" w:rsidP="00F12E78">
      <w:pPr>
        <w:jc w:val="both"/>
        <w:rPr>
          <w:rFonts w:ascii="Arial" w:hAnsi="Arial" w:cs="Arial"/>
          <w:color w:val="000000"/>
          <w:sz w:val="24"/>
          <w:szCs w:val="24"/>
          <w:lang w:val="en-GB"/>
        </w:rPr>
      </w:pPr>
      <w:r w:rsidRPr="00EF40F2">
        <w:rPr>
          <w:rFonts w:ascii="Arial" w:hAnsi="Arial" w:cs="Arial"/>
          <w:color w:val="000000"/>
          <w:sz w:val="24"/>
          <w:szCs w:val="24"/>
          <w:lang w:val="en-GB"/>
        </w:rPr>
        <w:t>The assessments and studies involved a review of the laws, policies and administrative rules governing these MDAs, budget and procurement processes where relevant, the actual daily practices of the MDAs and the experiences of citizens and beneficiaries of their services, factors influencing transparency and accountability, underlying issues, stakeholder analysis, grievance and redress mechanisms, identification of challenges, risks and weaknesses, recommendations and an integrity plan.</w:t>
      </w:r>
    </w:p>
    <w:p w14:paraId="2B7C75A6" w14:textId="2F47C757" w:rsidR="00F12E78" w:rsidRPr="00EF40F2" w:rsidRDefault="00F12E78" w:rsidP="00F12E78">
      <w:pPr>
        <w:jc w:val="both"/>
        <w:rPr>
          <w:rFonts w:ascii="Arial" w:hAnsi="Arial" w:cs="Arial"/>
          <w:b/>
          <w:bCs/>
          <w:color w:val="000000"/>
          <w:sz w:val="24"/>
          <w:szCs w:val="24"/>
          <w:lang w:val="en-GB"/>
        </w:rPr>
      </w:pPr>
      <w:r w:rsidRPr="00EF40F2">
        <w:rPr>
          <w:rFonts w:ascii="Arial" w:hAnsi="Arial" w:cs="Arial"/>
          <w:color w:val="000000"/>
          <w:sz w:val="24"/>
          <w:szCs w:val="24"/>
          <w:lang w:val="en-GB"/>
        </w:rPr>
        <w:t xml:space="preserve">There is need for a follow-up on these assessments, studies and score cards to determine the level of compliance by MDAs to recommendations emanating from these interventions. It has therefore become imperative to review these interventions and their implementation with a view to identifying gaps and challenges that need to be addressed as well as recommendations for action. </w:t>
      </w:r>
    </w:p>
    <w:p w14:paraId="60BA29AF" w14:textId="6DDE51AC" w:rsidR="00F12E78" w:rsidRPr="00EF40F2" w:rsidRDefault="00EF40F2" w:rsidP="00F12E78">
      <w:pPr>
        <w:jc w:val="both"/>
        <w:rPr>
          <w:rFonts w:ascii="Arial" w:eastAsia="Calibri" w:hAnsi="Arial" w:cs="Arial"/>
          <w:b/>
          <w:bCs/>
          <w:sz w:val="24"/>
          <w:szCs w:val="24"/>
        </w:rPr>
      </w:pPr>
      <w:r w:rsidRPr="00EF40F2">
        <w:rPr>
          <w:rFonts w:ascii="Arial" w:eastAsia="Calibri" w:hAnsi="Arial" w:cs="Arial"/>
          <w:b/>
          <w:bCs/>
          <w:sz w:val="24"/>
          <w:szCs w:val="24"/>
        </w:rPr>
        <w:t>3</w:t>
      </w:r>
      <w:r w:rsidR="00F12E78" w:rsidRPr="00EF40F2">
        <w:rPr>
          <w:rFonts w:ascii="Arial" w:eastAsia="Calibri" w:hAnsi="Arial" w:cs="Arial"/>
          <w:b/>
          <w:bCs/>
          <w:sz w:val="24"/>
          <w:szCs w:val="24"/>
        </w:rPr>
        <w:t>. Selected MDAs</w:t>
      </w:r>
    </w:p>
    <w:p w14:paraId="6FB7326A" w14:textId="3885F29D" w:rsidR="00EF40F2" w:rsidRPr="00EF40F2" w:rsidRDefault="00F12E78" w:rsidP="00EF40F2">
      <w:pPr>
        <w:jc w:val="both"/>
        <w:rPr>
          <w:rFonts w:ascii="Arial" w:eastAsia="Calibri" w:hAnsi="Arial" w:cs="Arial"/>
          <w:sz w:val="24"/>
          <w:szCs w:val="24"/>
        </w:rPr>
      </w:pPr>
      <w:r w:rsidRPr="00EF40F2">
        <w:rPr>
          <w:rFonts w:ascii="Arial" w:eastAsia="Calibri" w:hAnsi="Arial" w:cs="Arial"/>
          <w:sz w:val="24"/>
          <w:szCs w:val="24"/>
        </w:rPr>
        <w:t>The CRA review will be done on</w:t>
      </w:r>
      <w:r w:rsidR="00EF40F2" w:rsidRPr="00EF40F2">
        <w:rPr>
          <w:rFonts w:ascii="Arial" w:hAnsi="Arial" w:cs="Arial"/>
          <w:color w:val="000000"/>
          <w:sz w:val="24"/>
          <w:szCs w:val="24"/>
          <w:lang w:val="en-GB"/>
        </w:rPr>
        <w:t xml:space="preserve"> key federal MDAs that have the greatest impact on poverty reduction, human welfare and economic growth. The assessments to be reviewed are those done in the last ten years - 2015 will be the cut-off date.</w:t>
      </w:r>
    </w:p>
    <w:p w14:paraId="063F2669" w14:textId="77777777" w:rsidR="00EF40F2" w:rsidRDefault="00EF40F2" w:rsidP="00F12E78">
      <w:pPr>
        <w:jc w:val="both"/>
        <w:rPr>
          <w:rFonts w:ascii="Arial" w:hAnsi="Arial" w:cs="Arial"/>
          <w:b/>
          <w:bCs/>
          <w:iCs/>
          <w:sz w:val="24"/>
          <w:szCs w:val="24"/>
        </w:rPr>
      </w:pPr>
    </w:p>
    <w:p w14:paraId="6CE675ED" w14:textId="231F63AA" w:rsidR="00F12E78" w:rsidRPr="00EF40F2" w:rsidRDefault="00EF40F2" w:rsidP="00F12E78">
      <w:pPr>
        <w:jc w:val="both"/>
        <w:rPr>
          <w:rFonts w:ascii="Arial" w:hAnsi="Arial" w:cs="Arial"/>
          <w:b/>
          <w:bCs/>
          <w:iCs/>
          <w:sz w:val="24"/>
          <w:szCs w:val="24"/>
        </w:rPr>
      </w:pPr>
      <w:r w:rsidRPr="00EF40F2">
        <w:rPr>
          <w:rFonts w:ascii="Arial" w:hAnsi="Arial" w:cs="Arial"/>
          <w:b/>
          <w:bCs/>
          <w:iCs/>
          <w:sz w:val="24"/>
          <w:szCs w:val="24"/>
        </w:rPr>
        <w:lastRenderedPageBreak/>
        <w:t>4</w:t>
      </w:r>
      <w:r w:rsidR="00F12E78" w:rsidRPr="00EF40F2">
        <w:rPr>
          <w:rFonts w:ascii="Arial" w:hAnsi="Arial" w:cs="Arial"/>
          <w:b/>
          <w:bCs/>
          <w:iCs/>
          <w:sz w:val="24"/>
          <w:szCs w:val="24"/>
        </w:rPr>
        <w:t>. Methodology</w:t>
      </w:r>
    </w:p>
    <w:p w14:paraId="6046FD0E" w14:textId="77777777" w:rsidR="00F12E78" w:rsidRPr="00EF40F2" w:rsidRDefault="00F12E78" w:rsidP="00F12E78">
      <w:pPr>
        <w:jc w:val="both"/>
        <w:rPr>
          <w:rFonts w:ascii="Arial" w:hAnsi="Arial" w:cs="Arial"/>
          <w:iCs/>
          <w:sz w:val="24"/>
          <w:szCs w:val="24"/>
        </w:rPr>
      </w:pPr>
      <w:r w:rsidRPr="00EF40F2">
        <w:rPr>
          <w:rFonts w:ascii="Arial" w:hAnsi="Arial" w:cs="Arial"/>
          <w:iCs/>
          <w:sz w:val="24"/>
          <w:szCs w:val="24"/>
        </w:rPr>
        <w:t xml:space="preserve">The purpose is to determine whether there have been changes that seek to implement recommendations and the integrity plan designed at the end of the assessments. </w:t>
      </w:r>
    </w:p>
    <w:p w14:paraId="1E66FAF3" w14:textId="77777777" w:rsidR="00F12E78" w:rsidRPr="00EF40F2" w:rsidRDefault="00F12E78" w:rsidP="00F12E78">
      <w:pPr>
        <w:jc w:val="both"/>
        <w:rPr>
          <w:rFonts w:ascii="Arial" w:hAnsi="Arial" w:cs="Arial"/>
          <w:iCs/>
          <w:sz w:val="24"/>
          <w:szCs w:val="24"/>
          <w:lang w:val="en-GB"/>
        </w:rPr>
      </w:pPr>
      <w:r w:rsidRPr="00EF40F2">
        <w:rPr>
          <w:rFonts w:ascii="Arial" w:hAnsi="Arial" w:cs="Arial"/>
          <w:iCs/>
          <w:sz w:val="24"/>
          <w:szCs w:val="24"/>
          <w:lang w:val="en-GB"/>
        </w:rPr>
        <w:t>The steps for implementation will include:</w:t>
      </w:r>
    </w:p>
    <w:p w14:paraId="6FB5EF3A" w14:textId="77777777" w:rsidR="00F12E78" w:rsidRPr="00EF40F2" w:rsidRDefault="00F12E78" w:rsidP="00F12E78">
      <w:pPr>
        <w:pStyle w:val="ListParagraph"/>
        <w:numPr>
          <w:ilvl w:val="0"/>
          <w:numId w:val="2"/>
        </w:numPr>
        <w:jc w:val="both"/>
        <w:rPr>
          <w:rFonts w:ascii="Arial" w:hAnsi="Arial" w:cs="Arial"/>
          <w:iCs/>
          <w:sz w:val="24"/>
          <w:szCs w:val="24"/>
          <w:lang w:val="en-GB"/>
        </w:rPr>
      </w:pPr>
      <w:r w:rsidRPr="00EF40F2">
        <w:rPr>
          <w:rFonts w:ascii="Arial" w:hAnsi="Arial" w:cs="Arial"/>
          <w:iCs/>
          <w:sz w:val="24"/>
          <w:szCs w:val="24"/>
          <w:lang w:val="en-GB"/>
        </w:rPr>
        <w:t xml:space="preserve">Literature review </w:t>
      </w:r>
    </w:p>
    <w:p w14:paraId="31A771B1" w14:textId="77777777" w:rsidR="00F12E78" w:rsidRPr="00EF40F2" w:rsidRDefault="00F12E78" w:rsidP="00F12E78">
      <w:pPr>
        <w:pStyle w:val="ListParagraph"/>
        <w:numPr>
          <w:ilvl w:val="0"/>
          <w:numId w:val="2"/>
        </w:numPr>
        <w:jc w:val="both"/>
        <w:rPr>
          <w:rFonts w:ascii="Arial" w:hAnsi="Arial" w:cs="Arial"/>
          <w:iCs/>
          <w:sz w:val="24"/>
          <w:szCs w:val="24"/>
          <w:lang w:val="en-GB"/>
        </w:rPr>
      </w:pPr>
      <w:r w:rsidRPr="00EF40F2">
        <w:rPr>
          <w:rFonts w:ascii="Arial" w:hAnsi="Arial" w:cs="Arial"/>
          <w:iCs/>
          <w:sz w:val="24"/>
          <w:szCs w:val="24"/>
          <w:lang w:val="en-GB"/>
        </w:rPr>
        <w:t xml:space="preserve">Preparation, distribution and retrieval of questionnaires, and relevant evidence provided to demonstrate compliance with recommendations. </w:t>
      </w:r>
    </w:p>
    <w:p w14:paraId="7FC1633F" w14:textId="77777777" w:rsidR="00F12E78" w:rsidRPr="00EF40F2" w:rsidRDefault="00F12E78" w:rsidP="00F12E78">
      <w:pPr>
        <w:pStyle w:val="ListParagraph"/>
        <w:numPr>
          <w:ilvl w:val="0"/>
          <w:numId w:val="2"/>
        </w:numPr>
        <w:jc w:val="both"/>
        <w:rPr>
          <w:rFonts w:ascii="Arial" w:hAnsi="Arial" w:cs="Arial"/>
          <w:iCs/>
          <w:sz w:val="24"/>
          <w:szCs w:val="24"/>
          <w:lang w:val="en-GB"/>
        </w:rPr>
      </w:pPr>
      <w:r w:rsidRPr="00EF40F2">
        <w:rPr>
          <w:rFonts w:ascii="Arial" w:hAnsi="Arial" w:cs="Arial"/>
          <w:iCs/>
          <w:sz w:val="24"/>
          <w:szCs w:val="24"/>
          <w:lang w:val="en-GB"/>
        </w:rPr>
        <w:t>Field visits to the MDAs.</w:t>
      </w:r>
    </w:p>
    <w:p w14:paraId="390960D2" w14:textId="77777777" w:rsidR="00F12E78" w:rsidRPr="00EF40F2" w:rsidRDefault="00F12E78" w:rsidP="00F12E78">
      <w:pPr>
        <w:pStyle w:val="ListParagraph"/>
        <w:numPr>
          <w:ilvl w:val="0"/>
          <w:numId w:val="2"/>
        </w:numPr>
        <w:jc w:val="both"/>
        <w:rPr>
          <w:rFonts w:ascii="Arial" w:hAnsi="Arial" w:cs="Arial"/>
          <w:iCs/>
          <w:sz w:val="24"/>
          <w:szCs w:val="24"/>
          <w:lang w:val="en-GB"/>
        </w:rPr>
      </w:pPr>
      <w:r w:rsidRPr="00EF40F2">
        <w:rPr>
          <w:rFonts w:ascii="Arial" w:hAnsi="Arial" w:cs="Arial"/>
          <w:iCs/>
          <w:sz w:val="24"/>
          <w:szCs w:val="24"/>
          <w:lang w:val="en-GB"/>
        </w:rPr>
        <w:t>Focused group discussions, structured interviews with stakeholders.</w:t>
      </w:r>
    </w:p>
    <w:p w14:paraId="37D438B9" w14:textId="77777777" w:rsidR="00F12E78" w:rsidRPr="00EF40F2" w:rsidRDefault="00F12E78" w:rsidP="00F12E78">
      <w:pPr>
        <w:pStyle w:val="ListParagraph"/>
        <w:numPr>
          <w:ilvl w:val="0"/>
          <w:numId w:val="2"/>
        </w:numPr>
        <w:jc w:val="both"/>
        <w:rPr>
          <w:rFonts w:ascii="Arial" w:hAnsi="Arial" w:cs="Arial"/>
          <w:iCs/>
          <w:sz w:val="24"/>
          <w:szCs w:val="24"/>
          <w:lang w:val="en-GB"/>
        </w:rPr>
      </w:pPr>
      <w:r w:rsidRPr="00EF40F2">
        <w:rPr>
          <w:rFonts w:ascii="Arial" w:hAnsi="Arial" w:cs="Arial"/>
          <w:iCs/>
          <w:sz w:val="24"/>
          <w:szCs w:val="24"/>
          <w:lang w:val="en-GB"/>
        </w:rPr>
        <w:t xml:space="preserve">Preparation of draft report </w:t>
      </w:r>
    </w:p>
    <w:p w14:paraId="6390E247" w14:textId="77777777" w:rsidR="00F12E78" w:rsidRPr="00EF40F2" w:rsidRDefault="00F12E78" w:rsidP="00F12E78">
      <w:pPr>
        <w:pStyle w:val="ListParagraph"/>
        <w:numPr>
          <w:ilvl w:val="0"/>
          <w:numId w:val="2"/>
        </w:numPr>
        <w:jc w:val="both"/>
        <w:rPr>
          <w:rFonts w:ascii="Arial" w:hAnsi="Arial" w:cs="Arial"/>
          <w:iCs/>
          <w:sz w:val="24"/>
          <w:szCs w:val="24"/>
          <w:lang w:val="en-GB"/>
        </w:rPr>
      </w:pPr>
      <w:r w:rsidRPr="00EF40F2">
        <w:rPr>
          <w:rFonts w:ascii="Arial" w:hAnsi="Arial" w:cs="Arial"/>
          <w:iCs/>
          <w:sz w:val="24"/>
          <w:szCs w:val="24"/>
          <w:lang w:val="en-GB"/>
        </w:rPr>
        <w:t xml:space="preserve">Validation of draft report. </w:t>
      </w:r>
    </w:p>
    <w:p w14:paraId="4845AC2A" w14:textId="77777777" w:rsidR="00F12E78" w:rsidRPr="00EF40F2" w:rsidRDefault="00F12E78" w:rsidP="00F12E78">
      <w:pPr>
        <w:pStyle w:val="ListParagraph"/>
        <w:numPr>
          <w:ilvl w:val="0"/>
          <w:numId w:val="2"/>
        </w:numPr>
        <w:jc w:val="both"/>
        <w:rPr>
          <w:rFonts w:ascii="Arial" w:hAnsi="Arial" w:cs="Arial"/>
          <w:iCs/>
          <w:sz w:val="24"/>
          <w:szCs w:val="24"/>
          <w:lang w:val="en-GB"/>
        </w:rPr>
      </w:pPr>
      <w:r w:rsidRPr="00EF40F2">
        <w:rPr>
          <w:rFonts w:ascii="Arial" w:hAnsi="Arial" w:cs="Arial"/>
          <w:iCs/>
          <w:sz w:val="24"/>
          <w:szCs w:val="24"/>
          <w:lang w:val="en-GB"/>
        </w:rPr>
        <w:t xml:space="preserve">Publication of results </w:t>
      </w:r>
    </w:p>
    <w:p w14:paraId="33EA9017" w14:textId="77777777" w:rsidR="00F12E78" w:rsidRPr="00EF40F2" w:rsidRDefault="00F12E78" w:rsidP="00F12E78">
      <w:pPr>
        <w:pStyle w:val="ListParagraph"/>
        <w:numPr>
          <w:ilvl w:val="0"/>
          <w:numId w:val="2"/>
        </w:numPr>
        <w:jc w:val="both"/>
        <w:rPr>
          <w:rFonts w:ascii="Arial" w:hAnsi="Arial" w:cs="Arial"/>
          <w:iCs/>
          <w:sz w:val="24"/>
          <w:szCs w:val="24"/>
        </w:rPr>
      </w:pPr>
      <w:r w:rsidRPr="00EF40F2">
        <w:rPr>
          <w:rFonts w:ascii="Arial" w:hAnsi="Arial" w:cs="Arial"/>
          <w:iCs/>
          <w:sz w:val="24"/>
          <w:szCs w:val="24"/>
          <w:lang w:val="en-GB"/>
        </w:rPr>
        <w:t xml:space="preserve">Public presentation. </w:t>
      </w:r>
    </w:p>
    <w:p w14:paraId="48A68B1C" w14:textId="1C8F1771" w:rsidR="00F12E78" w:rsidRPr="00EF40F2" w:rsidRDefault="00EF40F2" w:rsidP="00F12E78">
      <w:pPr>
        <w:jc w:val="both"/>
        <w:rPr>
          <w:rFonts w:ascii="Arial" w:hAnsi="Arial" w:cs="Arial"/>
          <w:b/>
          <w:bCs/>
          <w:iCs/>
          <w:sz w:val="24"/>
          <w:szCs w:val="24"/>
        </w:rPr>
      </w:pPr>
      <w:r w:rsidRPr="00EF40F2">
        <w:rPr>
          <w:rFonts w:ascii="Arial" w:hAnsi="Arial" w:cs="Arial"/>
          <w:b/>
          <w:bCs/>
          <w:iCs/>
          <w:sz w:val="24"/>
          <w:szCs w:val="24"/>
        </w:rPr>
        <w:t xml:space="preserve">5. </w:t>
      </w:r>
      <w:r w:rsidR="00F12E78" w:rsidRPr="00EF40F2">
        <w:rPr>
          <w:rFonts w:ascii="Arial" w:hAnsi="Arial" w:cs="Arial"/>
          <w:b/>
          <w:bCs/>
          <w:iCs/>
          <w:sz w:val="24"/>
          <w:szCs w:val="24"/>
        </w:rPr>
        <w:t>Timeframe</w:t>
      </w:r>
    </w:p>
    <w:p w14:paraId="2405E210" w14:textId="0089B8AE" w:rsidR="00EF40F2" w:rsidRPr="00EF40F2" w:rsidRDefault="00F12E78" w:rsidP="00EF40F2">
      <w:pPr>
        <w:spacing w:line="276" w:lineRule="auto"/>
        <w:jc w:val="both"/>
        <w:rPr>
          <w:rFonts w:ascii="Arial" w:hAnsi="Arial" w:cs="Arial"/>
          <w:sz w:val="24"/>
          <w:szCs w:val="24"/>
        </w:rPr>
      </w:pPr>
      <w:r w:rsidRPr="00EF40F2">
        <w:rPr>
          <w:rFonts w:ascii="Arial" w:hAnsi="Arial" w:cs="Arial"/>
          <w:iCs/>
          <w:sz w:val="24"/>
          <w:szCs w:val="24"/>
        </w:rPr>
        <w:t>This is to be implemented between August</w:t>
      </w:r>
      <w:r w:rsidR="00EF40F2" w:rsidRPr="00EF40F2">
        <w:rPr>
          <w:rFonts w:ascii="Arial" w:hAnsi="Arial" w:cs="Arial"/>
          <w:iCs/>
          <w:sz w:val="24"/>
          <w:szCs w:val="24"/>
        </w:rPr>
        <w:t xml:space="preserve"> and September</w:t>
      </w:r>
      <w:r w:rsidRPr="00EF40F2">
        <w:rPr>
          <w:rFonts w:ascii="Arial" w:hAnsi="Arial" w:cs="Arial"/>
          <w:iCs/>
          <w:sz w:val="24"/>
          <w:szCs w:val="24"/>
        </w:rPr>
        <w:t xml:space="preserve"> 2025.</w:t>
      </w:r>
      <w:r w:rsidR="00EF40F2" w:rsidRPr="00EF40F2">
        <w:rPr>
          <w:rFonts w:ascii="Arial" w:hAnsi="Arial" w:cs="Arial"/>
          <w:iCs/>
          <w:sz w:val="24"/>
          <w:szCs w:val="24"/>
          <w:lang w:val="en-GB"/>
        </w:rPr>
        <w:t xml:space="preserve"> </w:t>
      </w:r>
      <w:r w:rsidR="00EF40F2" w:rsidRPr="00EF40F2">
        <w:rPr>
          <w:rFonts w:ascii="Arial" w:hAnsi="Arial" w:cs="Arial"/>
          <w:iCs/>
          <w:sz w:val="24"/>
          <w:szCs w:val="24"/>
          <w:lang w:val="en-GB"/>
        </w:rPr>
        <w:t>The consultant will work with the Lead Director of CSJ and with representatives of selected MDAs.</w:t>
      </w:r>
    </w:p>
    <w:p w14:paraId="24967AAC" w14:textId="19161E3D" w:rsidR="00EF40F2" w:rsidRPr="00EF40F2" w:rsidRDefault="00EF40F2" w:rsidP="00EF40F2">
      <w:pPr>
        <w:spacing w:line="276" w:lineRule="auto"/>
        <w:jc w:val="both"/>
        <w:rPr>
          <w:rFonts w:ascii="Arial" w:hAnsi="Arial" w:cs="Arial"/>
          <w:b/>
          <w:bCs/>
          <w:sz w:val="24"/>
          <w:szCs w:val="24"/>
        </w:rPr>
      </w:pPr>
      <w:r w:rsidRPr="00EF40F2">
        <w:rPr>
          <w:rFonts w:ascii="Arial" w:hAnsi="Arial" w:cs="Arial"/>
          <w:b/>
          <w:bCs/>
          <w:sz w:val="24"/>
          <w:szCs w:val="24"/>
        </w:rPr>
        <w:t>6</w:t>
      </w:r>
      <w:r w:rsidRPr="00EF40F2">
        <w:rPr>
          <w:rFonts w:ascii="Arial" w:hAnsi="Arial" w:cs="Arial"/>
          <w:b/>
          <w:bCs/>
          <w:sz w:val="24"/>
          <w:szCs w:val="24"/>
        </w:rPr>
        <w:t>. Professional Experience and Qualification</w:t>
      </w:r>
    </w:p>
    <w:p w14:paraId="3BECE1FD" w14:textId="77777777" w:rsidR="00EF40F2" w:rsidRPr="00EF40F2" w:rsidRDefault="00EF40F2" w:rsidP="00EF40F2">
      <w:pPr>
        <w:spacing w:line="276" w:lineRule="auto"/>
        <w:jc w:val="both"/>
        <w:rPr>
          <w:rFonts w:ascii="Arial" w:hAnsi="Arial" w:cs="Arial"/>
          <w:sz w:val="24"/>
          <w:szCs w:val="24"/>
        </w:rPr>
      </w:pPr>
      <w:r w:rsidRPr="00EF40F2">
        <w:rPr>
          <w:rFonts w:ascii="Arial" w:hAnsi="Arial" w:cs="Arial"/>
          <w:sz w:val="24"/>
          <w:szCs w:val="24"/>
        </w:rPr>
        <w:t xml:space="preserve">The Consultant must have not less than 10 years’ experience working in fiscal governance and anti-corruption. The Consultant must be able to show proof that he has conducted similar assignments in the past and demonstrate skills, competence and capacity to undertake the assignment.  </w:t>
      </w:r>
    </w:p>
    <w:p w14:paraId="09A68805" w14:textId="17F50E3A" w:rsidR="00EF40F2" w:rsidRPr="00EF40F2" w:rsidRDefault="00EF40F2" w:rsidP="00EF40F2">
      <w:pPr>
        <w:spacing w:line="276" w:lineRule="auto"/>
        <w:jc w:val="both"/>
        <w:rPr>
          <w:rFonts w:ascii="Arial" w:hAnsi="Arial" w:cs="Arial"/>
          <w:b/>
          <w:bCs/>
          <w:sz w:val="24"/>
          <w:szCs w:val="24"/>
        </w:rPr>
      </w:pPr>
      <w:r w:rsidRPr="00EF40F2">
        <w:rPr>
          <w:rFonts w:ascii="Arial" w:hAnsi="Arial" w:cs="Arial"/>
          <w:b/>
          <w:bCs/>
          <w:sz w:val="24"/>
          <w:szCs w:val="24"/>
        </w:rPr>
        <w:t>7</w:t>
      </w:r>
      <w:r w:rsidRPr="00EF40F2">
        <w:rPr>
          <w:rFonts w:ascii="Arial" w:hAnsi="Arial" w:cs="Arial"/>
          <w:b/>
          <w:bCs/>
          <w:sz w:val="24"/>
          <w:szCs w:val="24"/>
        </w:rPr>
        <w:t>. Academic Qualification</w:t>
      </w:r>
    </w:p>
    <w:p w14:paraId="54BCEAE0" w14:textId="77777777" w:rsidR="00EF40F2" w:rsidRPr="00EF40F2" w:rsidRDefault="00EF40F2" w:rsidP="00EF40F2">
      <w:pPr>
        <w:spacing w:line="276" w:lineRule="auto"/>
        <w:jc w:val="both"/>
        <w:rPr>
          <w:rFonts w:ascii="Arial" w:hAnsi="Arial" w:cs="Arial"/>
          <w:sz w:val="24"/>
          <w:szCs w:val="24"/>
        </w:rPr>
      </w:pPr>
      <w:r w:rsidRPr="00EF40F2">
        <w:rPr>
          <w:rFonts w:ascii="Arial" w:hAnsi="Arial" w:cs="Arial"/>
          <w:sz w:val="24"/>
          <w:szCs w:val="24"/>
        </w:rPr>
        <w:t>A Bachelor’s or Master’s degree in Law, Economics, Social Sciences or any other discipline related to the task is required. Professional certifications in any related discipline would be an added advantage.</w:t>
      </w:r>
    </w:p>
    <w:p w14:paraId="6E8B8304" w14:textId="4CEFF959" w:rsidR="00EF40F2" w:rsidRPr="00EF40F2" w:rsidRDefault="00EF40F2" w:rsidP="00EF40F2">
      <w:pPr>
        <w:spacing w:line="276" w:lineRule="auto"/>
        <w:jc w:val="both"/>
        <w:rPr>
          <w:rFonts w:ascii="Arial" w:hAnsi="Arial" w:cs="Arial"/>
          <w:b/>
          <w:bCs/>
          <w:sz w:val="24"/>
          <w:szCs w:val="24"/>
        </w:rPr>
      </w:pPr>
      <w:r w:rsidRPr="00EF40F2">
        <w:rPr>
          <w:rFonts w:ascii="Arial" w:hAnsi="Arial" w:cs="Arial"/>
          <w:b/>
          <w:bCs/>
          <w:sz w:val="24"/>
          <w:szCs w:val="24"/>
        </w:rPr>
        <w:t>6</w:t>
      </w:r>
      <w:r w:rsidRPr="00EF40F2">
        <w:rPr>
          <w:rFonts w:ascii="Arial" w:hAnsi="Arial" w:cs="Arial"/>
          <w:b/>
          <w:bCs/>
          <w:sz w:val="24"/>
          <w:szCs w:val="24"/>
        </w:rPr>
        <w:t>. Method of Application</w:t>
      </w:r>
    </w:p>
    <w:p w14:paraId="792E2304" w14:textId="77777777" w:rsidR="00EF40F2" w:rsidRPr="00EF40F2" w:rsidRDefault="00EF40F2" w:rsidP="00EF40F2">
      <w:pPr>
        <w:spacing w:line="276" w:lineRule="auto"/>
        <w:jc w:val="both"/>
        <w:rPr>
          <w:rFonts w:ascii="Arial" w:hAnsi="Arial" w:cs="Arial"/>
          <w:sz w:val="24"/>
          <w:szCs w:val="24"/>
        </w:rPr>
      </w:pPr>
      <w:r w:rsidRPr="00EF40F2">
        <w:rPr>
          <w:rFonts w:ascii="Arial" w:hAnsi="Arial" w:cs="Arial"/>
          <w:sz w:val="24"/>
          <w:szCs w:val="24"/>
        </w:rPr>
        <w:t>Interested Consultants should send their expression of interest to the following e-mail; csjprocurement@gmail.com alongside their CVs. The EOI should include detailed qualifications (including copies of relevant certificates) and a two-page statement of the Consultants understanding of the assignment and how s\he intends to proceed with the work.</w:t>
      </w:r>
    </w:p>
    <w:p w14:paraId="7A024650" w14:textId="33E8E8AC" w:rsidR="00EF40F2" w:rsidRPr="00EF40F2" w:rsidRDefault="00EF40F2" w:rsidP="00EF40F2">
      <w:pPr>
        <w:spacing w:line="276" w:lineRule="auto"/>
        <w:jc w:val="both"/>
        <w:rPr>
          <w:rFonts w:ascii="Arial" w:hAnsi="Arial" w:cs="Arial"/>
          <w:b/>
          <w:bCs/>
          <w:sz w:val="24"/>
          <w:szCs w:val="24"/>
        </w:rPr>
      </w:pPr>
      <w:r w:rsidRPr="00EF40F2">
        <w:rPr>
          <w:rFonts w:ascii="Arial" w:hAnsi="Arial" w:cs="Arial"/>
          <w:b/>
          <w:bCs/>
          <w:sz w:val="24"/>
          <w:szCs w:val="24"/>
        </w:rPr>
        <w:t>9</w:t>
      </w:r>
      <w:r w:rsidRPr="00EF40F2">
        <w:rPr>
          <w:rFonts w:ascii="Arial" w:hAnsi="Arial" w:cs="Arial"/>
          <w:b/>
          <w:bCs/>
          <w:sz w:val="24"/>
          <w:szCs w:val="24"/>
        </w:rPr>
        <w:t xml:space="preserve">. Timeline for the EOI </w:t>
      </w:r>
    </w:p>
    <w:p w14:paraId="445060A0" w14:textId="2E56814E" w:rsidR="00EF40F2" w:rsidRPr="00EF40F2" w:rsidRDefault="00EF40F2" w:rsidP="00EF40F2">
      <w:pPr>
        <w:spacing w:line="276" w:lineRule="auto"/>
        <w:jc w:val="both"/>
        <w:rPr>
          <w:rFonts w:ascii="Arial" w:hAnsi="Arial" w:cs="Arial"/>
          <w:sz w:val="24"/>
          <w:szCs w:val="24"/>
        </w:rPr>
      </w:pPr>
      <w:r w:rsidRPr="00EF40F2">
        <w:rPr>
          <w:rFonts w:ascii="Arial" w:hAnsi="Arial" w:cs="Arial"/>
          <w:sz w:val="24"/>
          <w:szCs w:val="24"/>
        </w:rPr>
        <w:t xml:space="preserve">EOIs should reach CSJ within </w:t>
      </w:r>
      <w:r w:rsidR="005862BF">
        <w:rPr>
          <w:rFonts w:ascii="Arial" w:hAnsi="Arial" w:cs="Arial"/>
          <w:sz w:val="24"/>
          <w:szCs w:val="24"/>
        </w:rPr>
        <w:t>seven</w:t>
      </w:r>
      <w:bookmarkStart w:id="0" w:name="_GoBack"/>
      <w:bookmarkEnd w:id="0"/>
      <w:r w:rsidRPr="00EF40F2">
        <w:rPr>
          <w:rFonts w:ascii="Arial" w:hAnsi="Arial" w:cs="Arial"/>
          <w:sz w:val="24"/>
          <w:szCs w:val="24"/>
        </w:rPr>
        <w:t xml:space="preserve"> days from the date of this Request for EOI.</w:t>
      </w:r>
    </w:p>
    <w:p w14:paraId="10B3EA59" w14:textId="2F215491" w:rsidR="00166C4B" w:rsidRPr="00EF40F2" w:rsidRDefault="00166C4B">
      <w:pPr>
        <w:rPr>
          <w:sz w:val="24"/>
          <w:szCs w:val="24"/>
        </w:rPr>
      </w:pPr>
    </w:p>
    <w:sectPr w:rsidR="00166C4B" w:rsidRPr="00EF40F2" w:rsidSect="00EF40F2">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F54CE"/>
    <w:multiLevelType w:val="hybridMultilevel"/>
    <w:tmpl w:val="54606B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CF0370"/>
    <w:multiLevelType w:val="hybridMultilevel"/>
    <w:tmpl w:val="183E7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5B"/>
    <w:rsid w:val="001341B4"/>
    <w:rsid w:val="00166C4B"/>
    <w:rsid w:val="003D235B"/>
    <w:rsid w:val="005862BF"/>
    <w:rsid w:val="009B421E"/>
    <w:rsid w:val="00EF40F2"/>
    <w:rsid w:val="00F1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B0A0"/>
  <w15:chartTrackingRefBased/>
  <w15:docId w15:val="{C6B4CE07-099A-4801-B20B-7262993D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2E78"/>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dcterms:created xsi:type="dcterms:W3CDTF">2025-08-04T10:06:00Z</dcterms:created>
  <dcterms:modified xsi:type="dcterms:W3CDTF">2025-08-04T10:09:00Z</dcterms:modified>
</cp:coreProperties>
</file>